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VOLUNTEER COORDINATOR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INSERT NAME, TITLE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]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Volunteer Coordinator's primary responsibilities include recruiting and training new volunteers, maintaining a database of volunteer information and skills, matching volunteers to opportunities that match their skills, scheduling, keeping volunteers informed and engaged, and communicating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mission to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vital to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Name]’s success. The Volunteer Coordinator makes sure that enough volunteers are scheduled and assigned to required tasks to allow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meet targets and perform excellently.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Volunteer Coordinator must be meticulous in keeping records and enthusiastic about volunteer work and working with our volunteers. They should uphold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values while ensuring the comfort of the volunteers.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Recruit, train, and supervise volunteers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Collect information about volunteer availability, skills, and interests, and maintaining an up-to-date database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Utilize marketing tools such as outreach programs, e-mail campaigns, and volunteer databases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Educate prospective and current volunteers about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volunteer opportunities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Assign volunteers to opportunities that are a good fit for their skill sets and ensure they understand their responsibilities and receive appropriate training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on top of scheduling to ensure the required positions are filled and volunteer absences are filled in a timely manner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volunteer schedules and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 training sessions and conduct on-the-job training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codes of conduct and operating procedures to ensure that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values are adhered to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Assure that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mission is communicated to the public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university or college degree is considered an asset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volunteering and recruitment experience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of previous experience with scheduling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knowledge of databases and Microsoft Office suite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interpersonal, time-management, and communication skills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organizational and team-building abilities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evenings and/or weekends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 or standing may be required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Adherence to COVID protocols, as applicable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pos="4680"/>
      </w:tabs>
      <w:jc w:val="center"/>
      <w:rPr>
        <w:rFonts w:ascii="Arial" w:cs="Arial" w:eastAsia="Arial" w:hAnsi="Arial"/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4680"/>
      </w:tabs>
      <w:jc w:val="center"/>
      <w:rPr>
        <w:rFonts w:ascii="Arial" w:cs="Arial" w:eastAsia="Arial" w:hAnsi="Arial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ukcJvuxZMvF3dGJUixfC+Qmyw==">AMUW2mU1dlKqNzpByFkcC3OGjF1LaXSxSwitrQ2dSonZzqhzLEBJ2qGfI9zXX0vtTcKjUs7/o+JgOVRQjNJwy+BvLxdGGmQHXTpvHkpO8Kk7eY0hrYZ/RW82LTdDD4Mitg59+uG6zmAL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